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25599">
            <wp:simplePos x="0" y="0"/>
            <wp:positionH relativeFrom="page">
              <wp:posOffset>1612138</wp:posOffset>
            </wp:positionH>
            <wp:positionV relativeFrom="page">
              <wp:posOffset>1114920</wp:posOffset>
            </wp:positionV>
            <wp:extent cx="691496" cy="60578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496" cy="605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268425623">
            <wp:simplePos x="0" y="0"/>
            <wp:positionH relativeFrom="page">
              <wp:posOffset>8118475</wp:posOffset>
            </wp:positionH>
            <wp:positionV relativeFrom="page">
              <wp:posOffset>1131328</wp:posOffset>
            </wp:positionV>
            <wp:extent cx="891790" cy="552450"/>
            <wp:effectExtent l="0" t="0" r="0" b="0"/>
            <wp:wrapNone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179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7" w:after="1"/>
        <w:rPr>
          <w:rFonts w:ascii="Times New Roman"/>
          <w:sz w:val="23"/>
        </w:rPr>
      </w:pPr>
    </w:p>
    <w:tbl>
      <w:tblPr>
        <w:tblW w:w="0" w:type="auto"/>
        <w:jc w:val="left"/>
        <w:tblInd w:w="2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23"/>
        <w:gridCol w:w="3029"/>
        <w:gridCol w:w="494"/>
        <w:gridCol w:w="1507"/>
        <w:gridCol w:w="1948"/>
        <w:gridCol w:w="4604"/>
      </w:tblGrid>
      <w:tr>
        <w:trPr>
          <w:trHeight w:val="1194" w:hRule="atLeast"/>
        </w:trPr>
        <w:tc>
          <w:tcPr>
            <w:tcW w:w="12705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spacing w:before="3"/>
              <w:rPr>
                <w:rFonts w:ascii="Times New Roman"/>
                <w:sz w:val="25"/>
              </w:rPr>
            </w:pPr>
          </w:p>
          <w:p>
            <w:pPr>
              <w:pStyle w:val="TableParagraph"/>
              <w:ind w:left="3888"/>
              <w:rPr>
                <w:b/>
                <w:sz w:val="15"/>
              </w:rPr>
            </w:pPr>
            <w:r>
              <w:rPr>
                <w:b/>
                <w:sz w:val="15"/>
              </w:rPr>
              <w:t>PLANILHA DE CÁLCULO DA SITUAÇÃO FINANCEIRA DA EMPRESA</w:t>
            </w:r>
          </w:p>
        </w:tc>
      </w:tr>
      <w:tr>
        <w:trPr>
          <w:trHeight w:val="421" w:hRule="atLeast"/>
        </w:trPr>
        <w:tc>
          <w:tcPr>
            <w:tcW w:w="4152" w:type="dxa"/>
            <w:gridSpan w:val="2"/>
            <w:tcBorders>
              <w:right w:val="nil"/>
            </w:tcBorders>
          </w:tcPr>
          <w:p>
            <w:pPr>
              <w:pStyle w:val="TableParagraph"/>
              <w:spacing w:before="120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NOME DA EMPRESA:</w:t>
            </w:r>
          </w:p>
        </w:tc>
        <w:tc>
          <w:tcPr>
            <w:tcW w:w="494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tcBorders>
              <w:left w:val="nil"/>
            </w:tcBorders>
          </w:tcPr>
          <w:p>
            <w:pPr>
              <w:pStyle w:val="TableParagraph"/>
              <w:spacing w:before="120"/>
              <w:ind w:left="1877" w:right="2210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DATA:</w:t>
            </w:r>
          </w:p>
        </w:tc>
      </w:tr>
      <w:tr>
        <w:trPr>
          <w:trHeight w:val="180" w:hRule="atLeast"/>
        </w:trPr>
        <w:tc>
          <w:tcPr>
            <w:tcW w:w="6153" w:type="dxa"/>
            <w:gridSpan w:val="4"/>
            <w:tcBorders>
              <w:bottom w:val="nil"/>
              <w:right w:val="nil"/>
            </w:tcBorders>
          </w:tcPr>
          <w:p>
            <w:pPr>
              <w:pStyle w:val="TableParagraph"/>
              <w:spacing w:line="160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DADOS DO BALANÇO PATRIMONIAL DO ULTIMO EXERCÍCIO SOCIAL</w:t>
            </w:r>
          </w:p>
        </w:tc>
        <w:tc>
          <w:tcPr>
            <w:tcW w:w="194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spacing w:before="1"/>
              <w:rPr>
                <w:rFonts w:ascii="Times New Roman"/>
                <w:sz w:val="21"/>
              </w:rPr>
            </w:pPr>
          </w:p>
          <w:p>
            <w:pPr>
              <w:pStyle w:val="TableParagraph"/>
              <w:ind w:left="1235"/>
              <w:rPr>
                <w:b/>
                <w:sz w:val="15"/>
              </w:rPr>
            </w:pPr>
            <w:r>
              <w:rPr>
                <w:b/>
                <w:sz w:val="15"/>
              </w:rPr>
              <w:t>TABELA DE ÍNDICE PADRÃO</w:t>
            </w:r>
          </w:p>
        </w:tc>
      </w:tr>
      <w:tr>
        <w:trPr>
          <w:trHeight w:val="237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left="30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0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9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left="30"/>
              <w:rPr>
                <w:sz w:val="15"/>
              </w:rPr>
            </w:pPr>
            <w:r>
              <w:rPr>
                <w:sz w:val="15"/>
              </w:rPr>
              <w:t>ATIVO NÃO CIRCULANTE EXCETO O ATIVO PERMANENTE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5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17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 w:val="restart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ind w:left="21"/>
              <w:rPr>
                <w:b/>
                <w:sz w:val="15"/>
              </w:rPr>
            </w:pPr>
            <w:r>
              <w:rPr>
                <w:b/>
                <w:sz w:val="15"/>
              </w:rPr>
              <w:t>ÍNDICES CONTÁBEIS – Situação – ILC, ILG e ISG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&lt; (menor) que 1,00: Deficitária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1,00 a 1,35: Equilibrada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282" w:val="left" w:leader="none"/>
              </w:tabs>
              <w:spacing w:line="240" w:lineRule="auto" w:before="23" w:after="0"/>
              <w:ind w:left="281" w:right="0" w:hanging="260"/>
              <w:jc w:val="left"/>
              <w:rPr>
                <w:sz w:val="15"/>
              </w:rPr>
            </w:pPr>
            <w:r>
              <w:rPr>
                <w:sz w:val="15"/>
              </w:rPr>
              <w:t>(maior) que 1,35:</w:t>
            </w:r>
            <w:r>
              <w:rPr>
                <w:spacing w:val="-1"/>
                <w:sz w:val="15"/>
              </w:rPr>
              <w:t> </w:t>
            </w:r>
            <w:r>
              <w:rPr>
                <w:sz w:val="15"/>
              </w:rPr>
              <w:t>Satisfatória</w:t>
            </w:r>
          </w:p>
        </w:tc>
      </w:tr>
      <w:tr>
        <w:trPr>
          <w:trHeight w:val="236" w:hRule="atLeast"/>
        </w:trPr>
        <w:tc>
          <w:tcPr>
            <w:tcW w:w="4152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PASIVO CIRCULANTE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line="16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1,00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7" w:hRule="atLeast"/>
        </w:trPr>
        <w:tc>
          <w:tcPr>
            <w:tcW w:w="4152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left="30"/>
              <w:rPr>
                <w:sz w:val="15"/>
              </w:rPr>
            </w:pPr>
            <w:r>
              <w:rPr>
                <w:sz w:val="15"/>
              </w:rPr>
              <w:t>PASSIVO NÃO CIRCULANTE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line="158" w:lineRule="exact" w:before="48"/>
              <w:ind w:right="94"/>
              <w:jc w:val="right"/>
              <w:rPr>
                <w:sz w:val="15"/>
              </w:rPr>
            </w:pPr>
            <w:r>
              <w:rPr>
                <w:sz w:val="15"/>
              </w:rPr>
              <w:t>R$</w:t>
            </w:r>
          </w:p>
        </w:tc>
        <w:tc>
          <w:tcPr>
            <w:tcW w:w="150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spacing w:before="8"/>
              <w:ind w:left="116"/>
              <w:rPr>
                <w:sz w:val="15"/>
              </w:rPr>
            </w:pPr>
            <w:r>
              <w:rPr>
                <w:sz w:val="15"/>
              </w:rPr>
              <w:t>0,00</w:t>
            </w:r>
          </w:p>
        </w:tc>
        <w:tc>
          <w:tcPr>
            <w:tcW w:w="194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96" w:hRule="atLeast"/>
        </w:trPr>
        <w:tc>
          <w:tcPr>
            <w:tcW w:w="6153" w:type="dxa"/>
            <w:gridSpan w:val="4"/>
          </w:tcPr>
          <w:p>
            <w:pPr>
              <w:pStyle w:val="TableParagraph"/>
              <w:spacing w:before="48"/>
              <w:ind w:left="2172" w:right="2145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CÁLCULO DOS ÍNDICES</w:t>
            </w:r>
          </w:p>
        </w:tc>
        <w:tc>
          <w:tcPr>
            <w:tcW w:w="1948" w:type="dxa"/>
          </w:tcPr>
          <w:p>
            <w:pPr>
              <w:pStyle w:val="TableParagraph"/>
              <w:spacing w:before="58"/>
              <w:ind w:left="509"/>
              <w:rPr>
                <w:b/>
                <w:sz w:val="15"/>
              </w:rPr>
            </w:pPr>
            <w:r>
              <w:rPr>
                <w:b/>
                <w:sz w:val="15"/>
              </w:rPr>
              <w:t>RESULTADO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9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CORRENTE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>
            <w:pPr>
              <w:pStyle w:val="TableParagraph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523" w:type="dxa"/>
            <w:gridSpan w:val="2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2248"/>
              <w:rPr>
                <w:sz w:val="15"/>
              </w:rPr>
            </w:pPr>
            <w:r>
              <w:rPr>
                <w:sz w:val="15"/>
              </w:rPr>
              <w:t>Ativo Circulante</w:t>
            </w: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2196"/>
              <w:rPr>
                <w:sz w:val="15"/>
              </w:rPr>
            </w:pPr>
            <w:r>
              <w:rPr>
                <w:sz w:val="15"/>
              </w:rPr>
              <w:t>Passivo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68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48" w:lineRule="exact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LIQUIDEZ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spacing w:before="9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5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5030" w:type="dxa"/>
            <w:gridSpan w:val="3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spacing w:line="156" w:lineRule="exact"/>
              <w:ind w:left="309"/>
              <w:rPr>
                <w:sz w:val="15"/>
              </w:rPr>
            </w:pPr>
            <w:r>
              <w:rPr>
                <w:sz w:val="15"/>
              </w:rPr>
              <w:t>Ativo Circulante + Ativo Não Circulante Exceto o Ativo Permanente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07" w:hRule="atLeast"/>
        </w:trPr>
        <w:tc>
          <w:tcPr>
            <w:tcW w:w="4152" w:type="dxa"/>
            <w:gridSpan w:val="2"/>
            <w:tcBorders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spacing w:before="36"/>
              <w:ind w:left="33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</w:t>
            </w:r>
          </w:p>
        </w:tc>
        <w:tc>
          <w:tcPr>
            <w:tcW w:w="494" w:type="dxa"/>
            <w:tcBorders>
              <w:left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left w:val="nil"/>
              <w:bottom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1"/>
              <w:ind w:left="786" w:right="768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0,00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atLeast"/>
        </w:trPr>
        <w:tc>
          <w:tcPr>
            <w:tcW w:w="1123" w:type="dxa"/>
            <w:tcBorders>
              <w:top w:val="nil"/>
              <w:bottom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9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spacing w:line="161" w:lineRule="exact" w:before="90"/>
              <w:ind w:right="142"/>
              <w:jc w:val="right"/>
              <w:rPr>
                <w:sz w:val="15"/>
              </w:rPr>
            </w:pPr>
            <w:r>
              <w:rPr>
                <w:sz w:val="15"/>
              </w:rPr>
              <w:t>Ativo Total</w:t>
            </w:r>
          </w:p>
        </w:tc>
        <w:tc>
          <w:tcPr>
            <w:tcW w:w="494" w:type="dxa"/>
            <w:tcBorders>
              <w:top w:val="nil"/>
              <w:left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7" w:type="dxa"/>
            <w:tcBorders>
              <w:top w:val="nil"/>
              <w:lef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64" w:hRule="atLeast"/>
        </w:trPr>
        <w:tc>
          <w:tcPr>
            <w:tcW w:w="1123" w:type="dxa"/>
            <w:tcBorders>
              <w:top w:val="nil"/>
              <w:right w:val="nil"/>
            </w:tcBorders>
            <w:shd w:val="clear" w:color="auto" w:fill="D9D9D9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030" w:type="dxa"/>
            <w:gridSpan w:val="3"/>
            <w:tcBorders>
              <w:left w:val="nil"/>
            </w:tcBorders>
            <w:shd w:val="clear" w:color="auto" w:fill="D9D9D9"/>
          </w:tcPr>
          <w:p>
            <w:pPr>
              <w:pStyle w:val="TableParagraph"/>
              <w:spacing w:line="172" w:lineRule="exact"/>
              <w:ind w:left="1075"/>
              <w:rPr>
                <w:sz w:val="15"/>
              </w:rPr>
            </w:pPr>
            <w:r>
              <w:rPr>
                <w:sz w:val="15"/>
              </w:rPr>
              <w:t>Passivo Circulante + Passivo Não Circulante</w:t>
            </w:r>
          </w:p>
        </w:tc>
        <w:tc>
          <w:tcPr>
            <w:tcW w:w="1948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41" w:hRule="atLeast"/>
        </w:trPr>
        <w:tc>
          <w:tcPr>
            <w:tcW w:w="8101" w:type="dxa"/>
            <w:gridSpan w:val="5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9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20" w:lineRule="exact"/>
              <w:ind w:left="111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  <w:pict>
                <v:group style="width:251.2pt;height:1pt;mso-position-horizontal-relative:char;mso-position-vertical-relative:line" coordorigin="0,0" coordsize="5024,20">
                  <v:line style="position:absolute" from="0,10" to="5024,10" stroked="true" strokeweight=".95999pt" strokecolor="#000000">
                    <v:stroke dashstyle="solid"/>
                  </v:line>
                </v:group>
              </w:pict>
            </w:r>
            <w:r>
              <w:rPr>
                <w:rFonts w:ascii="Times New Roman"/>
                <w:sz w:val="2"/>
              </w:rPr>
            </w:r>
          </w:p>
          <w:p>
            <w:pPr>
              <w:pStyle w:val="TableParagraph"/>
              <w:spacing w:before="34"/>
              <w:ind w:left="3189" w:right="4030"/>
              <w:jc w:val="center"/>
              <w:rPr>
                <w:sz w:val="15"/>
              </w:rPr>
            </w:pPr>
            <w:r>
              <w:rPr>
                <w:sz w:val="15"/>
              </w:rPr>
              <w:t>Responsável</w:t>
            </w:r>
          </w:p>
        </w:tc>
        <w:tc>
          <w:tcPr>
            <w:tcW w:w="460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spacing w:line="240" w:lineRule="auto" w:before="5"/>
        <w:rPr>
          <w:rFonts w:ascii="Times New Roman"/>
          <w:sz w:val="10"/>
        </w:rPr>
      </w:pPr>
    </w:p>
    <w:p>
      <w:pPr>
        <w:spacing w:before="102"/>
        <w:ind w:left="2546" w:right="0" w:firstLine="0"/>
        <w:jc w:val="left"/>
        <w:rPr>
          <w:sz w:val="15"/>
        </w:rPr>
      </w:pPr>
      <w:r>
        <w:rPr>
          <w:b/>
          <w:sz w:val="15"/>
        </w:rPr>
        <w:t>Gentileza solicitar o envio da planilha no formato Excel através do e-mail </w:t>
      </w:r>
      <w:hyperlink r:id="rId7">
        <w:r>
          <w:rPr>
            <w:color w:val="C00000"/>
            <w:sz w:val="15"/>
          </w:rPr>
          <w:t>projeto.compras@mackenziebh.com.br</w:t>
        </w:r>
      </w:hyperlink>
    </w:p>
    <w:p>
      <w:pPr>
        <w:spacing w:after="0"/>
        <w:jc w:val="left"/>
        <w:rPr>
          <w:sz w:val="15"/>
        </w:rPr>
        <w:sectPr>
          <w:type w:val="continuous"/>
          <w:pgSz w:w="16840" w:h="11910" w:orient="landscape"/>
          <w:pgMar w:top="1100" w:bottom="280" w:left="1680" w:right="1900"/>
        </w:sect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8" w:after="0"/>
        <w:rPr>
          <w:rFonts w:ascii="Times New Roman"/>
          <w:sz w:val="15"/>
        </w:rPr>
      </w:pPr>
    </w:p>
    <w:tbl>
      <w:tblPr>
        <w:tblW w:w="0" w:type="auto"/>
        <w:jc w:val="left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048"/>
      </w:tblGrid>
      <w:tr>
        <w:trPr>
          <w:trHeight w:val="1046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GERAL – ILG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ILG = (Ativo Circulante + Realizável a Longo Prazo) : (Passivo Circulante + Exigível a Longo Prazo)</w:t>
            </w:r>
          </w:p>
          <w:p>
            <w:pPr>
              <w:pStyle w:val="TableParagraph"/>
              <w:spacing w:line="271" w:lineRule="auto" w:before="23"/>
              <w:ind w:left="200" w:right="52"/>
              <w:rPr>
                <w:sz w:val="15"/>
              </w:rPr>
            </w:pPr>
            <w:r>
              <w:rPr>
                <w:sz w:val="15"/>
              </w:rPr>
              <w:t>Índice de Liquidez Geral (ILG) indica quanto a empresa possui em disponibilidades, bens e direitos realizáveis no curso do exercício seguinte para liquidar suas obrigações, com vencimento neste mesmo período.</w:t>
            </w:r>
          </w:p>
        </w:tc>
      </w:tr>
      <w:tr>
        <w:trPr>
          <w:trHeight w:val="1095" w:hRule="atLeast"/>
        </w:trPr>
        <w:tc>
          <w:tcPr>
            <w:tcW w:w="1304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2"/>
              <w:rPr>
                <w:b/>
                <w:sz w:val="15"/>
              </w:rPr>
            </w:pPr>
            <w:r>
              <w:rPr>
                <w:b/>
                <w:sz w:val="15"/>
              </w:rPr>
              <w:t>ÍNDICE DE LIQUIDEZ CORRENTE – ILC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ILC = (Ativo Circulante) : (Passivo Circulante)</w:t>
            </w:r>
          </w:p>
          <w:p>
            <w:pPr>
              <w:pStyle w:val="TableParagraph"/>
              <w:spacing w:before="23"/>
              <w:ind w:left="202"/>
              <w:rPr>
                <w:sz w:val="15"/>
              </w:rPr>
            </w:pPr>
            <w:r>
              <w:rPr>
                <w:sz w:val="15"/>
              </w:rPr>
              <w:t>Índice de Liquidez Corrente (ILC) indica quanto a empresa possui em recursos disponíveis, bens e direitos realizáveis a curto prazo, para fazer face ao total de suas dívidas de curto prazo.</w:t>
            </w:r>
          </w:p>
        </w:tc>
      </w:tr>
      <w:tr>
        <w:trPr>
          <w:trHeight w:val="1047" w:hRule="atLeast"/>
        </w:trPr>
        <w:tc>
          <w:tcPr>
            <w:tcW w:w="13048" w:type="dxa"/>
          </w:tcPr>
          <w:p>
            <w:pPr>
              <w:pStyle w:val="TableParagraph"/>
              <w:spacing w:before="1"/>
              <w:rPr>
                <w:rFonts w:ascii="Times New Roman"/>
                <w:sz w:val="22"/>
              </w:rPr>
            </w:pPr>
          </w:p>
          <w:p>
            <w:pPr>
              <w:pStyle w:val="TableParagraph"/>
              <w:ind w:left="200"/>
              <w:rPr>
                <w:b/>
                <w:sz w:val="15"/>
              </w:rPr>
            </w:pPr>
            <w:r>
              <w:rPr>
                <w:b/>
                <w:sz w:val="15"/>
              </w:rPr>
              <w:t>ÍNDICE DE SOLVÊNCIA GERAL – ISG</w:t>
            </w:r>
          </w:p>
          <w:p>
            <w:pPr>
              <w:pStyle w:val="TableParagraph"/>
              <w:spacing w:before="23"/>
              <w:ind w:left="200"/>
              <w:rPr>
                <w:sz w:val="15"/>
              </w:rPr>
            </w:pPr>
            <w:r>
              <w:rPr>
                <w:sz w:val="15"/>
              </w:rPr>
              <w:t>ISG = (Ativo Total) : (Passivo Circulante + Exigível a Longo Prazo)</w:t>
            </w:r>
          </w:p>
          <w:p>
            <w:pPr>
              <w:pStyle w:val="TableParagraph"/>
              <w:spacing w:line="200" w:lineRule="atLeast" w:before="4"/>
              <w:ind w:left="200"/>
              <w:rPr>
                <w:sz w:val="15"/>
              </w:rPr>
            </w:pPr>
            <w:r>
              <w:rPr>
                <w:sz w:val="15"/>
              </w:rPr>
              <w:t>O índice de Solvência Geral expressa o grau de garantia que a empresa dispõe em Ativos (totais), para pagamento do total de suas dívidas. Envolve além dos recursos líquidos, também os permanentes.</w:t>
            </w:r>
          </w:p>
        </w:tc>
      </w:tr>
    </w:tbl>
    <w:p>
      <w:pPr>
        <w:spacing w:after="0" w:line="200" w:lineRule="atLeast"/>
        <w:rPr>
          <w:sz w:val="15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p>
      <w:pPr>
        <w:spacing w:after="0" w:line="240" w:lineRule="auto"/>
        <w:rPr>
          <w:rFonts w:ascii="Times New Roman"/>
          <w:sz w:val="17"/>
        </w:rPr>
        <w:sectPr>
          <w:pgSz w:w="16840" w:h="11910" w:orient="landscape"/>
          <w:pgMar w:top="1100" w:bottom="280" w:left="1680" w:right="1900"/>
        </w:sectPr>
      </w:pPr>
    </w:p>
    <w:p>
      <w:pPr>
        <w:spacing w:line="240" w:lineRule="auto" w:before="4"/>
        <w:rPr>
          <w:rFonts w:ascii="Times New Roman"/>
          <w:sz w:val="17"/>
        </w:rPr>
      </w:pPr>
    </w:p>
    <w:sectPr>
      <w:pgSz w:w="16840" w:h="11910" w:orient="landscape"/>
      <w:pgMar w:top="1100" w:bottom="280" w:left="1680" w:right="1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281" w:hanging="261"/>
      </w:pPr>
      <w:rPr>
        <w:rFonts w:hint="default" w:ascii="Tahoma" w:hAnsi="Tahoma" w:eastAsia="Tahoma" w:cs="Tahoma"/>
        <w:w w:val="100"/>
        <w:sz w:val="15"/>
        <w:szCs w:val="15"/>
        <w:lang w:val="pt-PT" w:eastAsia="pt-PT" w:bidi="pt-PT"/>
      </w:rPr>
    </w:lvl>
    <w:lvl w:ilvl="1">
      <w:start w:val="0"/>
      <w:numFmt w:val="bullet"/>
      <w:lvlText w:val="•"/>
      <w:lvlJc w:val="left"/>
      <w:pPr>
        <w:ind w:left="710" w:hanging="261"/>
      </w:pPr>
      <w:rPr>
        <w:rFonts w:hint="default"/>
        <w:lang w:val="pt-PT" w:eastAsia="pt-PT" w:bidi="pt-PT"/>
      </w:rPr>
    </w:lvl>
    <w:lvl w:ilvl="2">
      <w:start w:val="0"/>
      <w:numFmt w:val="bullet"/>
      <w:lvlText w:val="•"/>
      <w:lvlJc w:val="left"/>
      <w:pPr>
        <w:ind w:left="1140" w:hanging="261"/>
      </w:pPr>
      <w:rPr>
        <w:rFonts w:hint="default"/>
        <w:lang w:val="pt-PT" w:eastAsia="pt-PT" w:bidi="pt-PT"/>
      </w:rPr>
    </w:lvl>
    <w:lvl w:ilvl="3">
      <w:start w:val="0"/>
      <w:numFmt w:val="bullet"/>
      <w:lvlText w:val="•"/>
      <w:lvlJc w:val="left"/>
      <w:pPr>
        <w:ind w:left="1571" w:hanging="261"/>
      </w:pPr>
      <w:rPr>
        <w:rFonts w:hint="default"/>
        <w:lang w:val="pt-PT" w:eastAsia="pt-PT" w:bidi="pt-PT"/>
      </w:rPr>
    </w:lvl>
    <w:lvl w:ilvl="4">
      <w:start w:val="0"/>
      <w:numFmt w:val="bullet"/>
      <w:lvlText w:val="•"/>
      <w:lvlJc w:val="left"/>
      <w:pPr>
        <w:ind w:left="2001" w:hanging="261"/>
      </w:pPr>
      <w:rPr>
        <w:rFonts w:hint="default"/>
        <w:lang w:val="pt-PT" w:eastAsia="pt-PT" w:bidi="pt-PT"/>
      </w:rPr>
    </w:lvl>
    <w:lvl w:ilvl="5">
      <w:start w:val="0"/>
      <w:numFmt w:val="bullet"/>
      <w:lvlText w:val="•"/>
      <w:lvlJc w:val="left"/>
      <w:pPr>
        <w:ind w:left="2432" w:hanging="261"/>
      </w:pPr>
      <w:rPr>
        <w:rFonts w:hint="default"/>
        <w:lang w:val="pt-PT" w:eastAsia="pt-PT" w:bidi="pt-PT"/>
      </w:rPr>
    </w:lvl>
    <w:lvl w:ilvl="6">
      <w:start w:val="0"/>
      <w:numFmt w:val="bullet"/>
      <w:lvlText w:val="•"/>
      <w:lvlJc w:val="left"/>
      <w:pPr>
        <w:ind w:left="2862" w:hanging="261"/>
      </w:pPr>
      <w:rPr>
        <w:rFonts w:hint="default"/>
        <w:lang w:val="pt-PT" w:eastAsia="pt-PT" w:bidi="pt-PT"/>
      </w:rPr>
    </w:lvl>
    <w:lvl w:ilvl="7">
      <w:start w:val="0"/>
      <w:numFmt w:val="bullet"/>
      <w:lvlText w:val="•"/>
      <w:lvlJc w:val="left"/>
      <w:pPr>
        <w:ind w:left="3292" w:hanging="261"/>
      </w:pPr>
      <w:rPr>
        <w:rFonts w:hint="default"/>
        <w:lang w:val="pt-PT" w:eastAsia="pt-PT" w:bidi="pt-PT"/>
      </w:rPr>
    </w:lvl>
    <w:lvl w:ilvl="8">
      <w:start w:val="0"/>
      <w:numFmt w:val="bullet"/>
      <w:lvlText w:val="•"/>
      <w:lvlJc w:val="left"/>
      <w:pPr>
        <w:ind w:left="3723" w:hanging="26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pt-PT" w:bidi="pt-PT"/>
    </w:rPr>
  </w:style>
  <w:style w:styleId="ListParagraph" w:type="paragraph">
    <w:name w:val="List Paragraph"/>
    <w:basedOn w:val="Normal"/>
    <w:uiPriority w:val="1"/>
    <w:qFormat/>
    <w:pPr/>
    <w:rPr>
      <w:lang w:val="pt-PT" w:eastAsia="pt-PT" w:bidi="pt-PT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pt-PT" w:bidi="pt-P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mailto:projeto.compras@mackenziebh.com.br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COHAB-MG</dc:creator>
  <dcterms:created xsi:type="dcterms:W3CDTF">2018-06-08T15:30:56Z</dcterms:created>
  <dcterms:modified xsi:type="dcterms:W3CDTF">2018-06-08T15:30:56Z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2016-02-10T00:00:00Z</vt:filetime>
  </property>
  <property fmtid="{D5CDD505-2E9C-101B-9397-08002B2CF9AE}" pid="3" name="Creator">
    <vt:lpwstr>Microsoft® Excel® 2010</vt:lpwstr>
  </property>
  <property fmtid="{D5CDD505-2E9C-101B-9397-08002B2CF9AE}" pid="4" name="LastSaved">
    <vt:filetime>2018-06-08T00:00:00Z</vt:filetime>
  </property>
</Properties>
</file>